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«МРСК Юга»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«МРСК Юга»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bookmarkStart w:id="0" w:name="_GoBack"/>
      <w:bookmarkEnd w:id="0"/>
      <w:r w:rsidRPr="006460BD">
        <w:rPr>
          <w:rFonts w:cstheme="minorHAnsi"/>
          <w:b/>
        </w:rPr>
        <w:t>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«МРСК Юга»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643702">
        <w:rPr>
          <w:rFonts w:cstheme="minorHAnsi"/>
        </w:rPr>
        <w:t>9 месяцев</w:t>
      </w:r>
      <w:r w:rsidR="00DD051C">
        <w:rPr>
          <w:rFonts w:cstheme="minorHAnsi"/>
        </w:rPr>
        <w:t xml:space="preserve"> </w:t>
      </w:r>
      <w:r>
        <w:rPr>
          <w:rFonts w:cstheme="minorHAnsi"/>
        </w:rPr>
        <w:t>201</w:t>
      </w:r>
      <w:r w:rsidR="00DD051C">
        <w:rPr>
          <w:rFonts w:cstheme="minorHAnsi"/>
        </w:rPr>
        <w:t>8</w:t>
      </w:r>
      <w:r>
        <w:rPr>
          <w:rFonts w:cstheme="minorHAnsi"/>
        </w:rPr>
        <w:t xml:space="preserve"> год</w:t>
      </w:r>
      <w:r w:rsidR="00DD051C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643702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731C7B8D" wp14:editId="26BCC650">
            <wp:extent cx="5876925" cy="3308350"/>
            <wp:effectExtent l="0" t="0" r="952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643702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9 месяцев</w:t>
            </w:r>
            <w:r w:rsidR="00DD051C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</w:t>
            </w:r>
            <w:r w:rsidR="00DD051C"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201</w:t>
            </w:r>
            <w:r w:rsidR="00DD051C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8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643702" w:rsidRPr="00E17422" w:rsidTr="0064370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643702" w:rsidRPr="00E17422" w:rsidRDefault="00643702" w:rsidP="00643702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643702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26 764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643702" w:rsidRDefault="00643702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643702" w:rsidRPr="00E17422" w:rsidTr="0064370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643702" w:rsidRPr="00E17422" w:rsidRDefault="00643702" w:rsidP="0064370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643702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25 757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643702" w:rsidRDefault="00643702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96,2%</w:t>
            </w:r>
          </w:p>
        </w:tc>
      </w:tr>
      <w:tr w:rsidR="00643702" w:rsidRPr="00E17422" w:rsidTr="0064370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643702" w:rsidRPr="00E17422" w:rsidRDefault="00643702" w:rsidP="0064370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643702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643702" w:rsidRDefault="00643702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0,7%</w:t>
            </w:r>
          </w:p>
        </w:tc>
      </w:tr>
      <w:tr w:rsidR="00643702" w:rsidRPr="00E17422" w:rsidTr="00643702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643702" w:rsidRPr="00E17422" w:rsidRDefault="00643702" w:rsidP="0064370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643702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643702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2,4%</w:t>
            </w:r>
          </w:p>
        </w:tc>
      </w:tr>
      <w:tr w:rsidR="00643702" w:rsidRPr="00E17422" w:rsidTr="00643702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643702" w:rsidRPr="00E17422" w:rsidRDefault="00643702" w:rsidP="0064370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643702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643702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C5D3A"/>
    <w:rsid w:val="00153B3E"/>
    <w:rsid w:val="001711F8"/>
    <w:rsid w:val="001E0FE1"/>
    <w:rsid w:val="002836FA"/>
    <w:rsid w:val="00310092"/>
    <w:rsid w:val="00335C08"/>
    <w:rsid w:val="003A7F7F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88755C"/>
    <w:rsid w:val="00920F01"/>
    <w:rsid w:val="00927877"/>
    <w:rsid w:val="00935DCF"/>
    <w:rsid w:val="0094232C"/>
    <w:rsid w:val="009B31E9"/>
    <w:rsid w:val="00A561FF"/>
    <w:rsid w:val="00B02714"/>
    <w:rsid w:val="00BC2787"/>
    <w:rsid w:val="00C96AD4"/>
    <w:rsid w:val="00D23442"/>
    <w:rsid w:val="00DB24FA"/>
    <w:rsid w:val="00DB3A28"/>
    <w:rsid w:val="00DB7B45"/>
    <w:rsid w:val="00DD051C"/>
    <w:rsid w:val="00DD1CE7"/>
    <w:rsid w:val="00E17422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C39C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Структура выручки ПАО "МРСК Юга" за 9 месяцев 2018 года, в %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739489085603427E-2"/>
          <c:y val="0.24863579552555931"/>
          <c:w val="0.58238568005086322"/>
          <c:h val="0.6547125359330083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A50-4C98-9186-15EAFE66F8F4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A50-4C98-9186-15EAFE66F8F4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A50-4C98-9186-15EAFE66F8F4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FA50-4C98-9186-15EAFE66F8F4}"/>
              </c:ext>
            </c:extLst>
          </c:dPt>
          <c:dLbls>
            <c:dLbl>
              <c:idx val="0"/>
              <c:layout>
                <c:manualLayout>
                  <c:x val="6.3492063492063544E-2"/>
                  <c:y val="7.936507936507936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50-4C98-9186-15EAFE66F8F4}"/>
                </c:ext>
              </c:extLst>
            </c:dLbl>
            <c:dLbl>
              <c:idx val="2"/>
              <c:layout>
                <c:manualLayout>
                  <c:x val="-4.4168391994478952E-2"/>
                  <c:y val="2.38095238095238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A50-4C98-9186-15EAFE66F8F4}"/>
                </c:ext>
              </c:extLst>
            </c:dLbl>
            <c:dLbl>
              <c:idx val="3"/>
              <c:layout>
                <c:manualLayout>
                  <c:x val="-8.2815734989648039E-3"/>
                  <c:y val="-4.76190476190476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A50-4C98-9186-15EAFE66F8F4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Word]Лист1'!$D$29:$G$29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'[Диаграмма в Microsoft Word]Лист1'!$D$30:$G$30</c:f>
              <c:numCache>
                <c:formatCode>#,##0</c:formatCode>
                <c:ptCount val="4"/>
                <c:pt idx="0">
                  <c:v>641.01794986999994</c:v>
                </c:pt>
                <c:pt idx="1">
                  <c:v>25757.431606333288</c:v>
                </c:pt>
                <c:pt idx="2">
                  <c:v>166.93817899999996</c:v>
                </c:pt>
                <c:pt idx="3">
                  <c:v>198.46932129999999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50-4C98-9186-15EAFE66F8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Ласкова Мария Борисовна</cp:lastModifiedBy>
  <cp:revision>6</cp:revision>
  <dcterms:created xsi:type="dcterms:W3CDTF">2018-05-16T12:25:00Z</dcterms:created>
  <dcterms:modified xsi:type="dcterms:W3CDTF">2019-02-01T06:42:00Z</dcterms:modified>
</cp:coreProperties>
</file>